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07E3" w14:textId="77777777" w:rsidR="009F692E" w:rsidRPr="009F692E" w:rsidRDefault="009F692E" w:rsidP="009F692E">
      <w:pPr>
        <w:rPr>
          <w:b/>
          <w:sz w:val="28"/>
          <w:u w:val="single"/>
        </w:rPr>
      </w:pPr>
      <w:r w:rsidRPr="009F692E">
        <w:rPr>
          <w:b/>
          <w:sz w:val="28"/>
          <w:u w:val="single"/>
        </w:rPr>
        <w:t>Company Profile</w:t>
      </w:r>
    </w:p>
    <w:p w14:paraId="12429CDC" w14:textId="77777777" w:rsidR="009F692E" w:rsidRPr="009F692E" w:rsidRDefault="009F692E" w:rsidP="009F692E">
      <w:pPr>
        <w:spacing w:after="0" w:line="240" w:lineRule="auto"/>
        <w:rPr>
          <w:b/>
          <w:sz w:val="24"/>
        </w:rPr>
      </w:pPr>
      <w:r w:rsidRPr="009F692E">
        <w:rPr>
          <w:b/>
          <w:sz w:val="24"/>
        </w:rPr>
        <w:t>About PowerHouse Alliance</w:t>
      </w:r>
    </w:p>
    <w:p w14:paraId="23ED4F07" w14:textId="77777777" w:rsidR="003112D7" w:rsidRPr="003112D7" w:rsidRDefault="003112D7" w:rsidP="003112D7">
      <w:pPr>
        <w:spacing w:after="0" w:line="240" w:lineRule="auto"/>
        <w:rPr>
          <w:sz w:val="24"/>
        </w:rPr>
      </w:pPr>
      <w:r w:rsidRPr="003112D7">
        <w:rPr>
          <w:sz w:val="24"/>
        </w:rPr>
        <w:t>The PowerHouse Alliance is a national consorti</w:t>
      </w:r>
      <w:bookmarkStart w:id="0" w:name="_GoBack"/>
      <w:bookmarkEnd w:id="0"/>
      <w:r w:rsidRPr="003112D7">
        <w:rPr>
          <w:sz w:val="24"/>
        </w:rPr>
        <w:t>um of regional wholesale distributors delivering name brand products for custom installers, specialty dealers, large retailers and industry buying groups in the residential and commercial audio/video, home entertainment, security, networking, IT and consumer electronics accessories markets. With combined annual sales in excess of $800 million, PowerHouse Alliance member companies represent 800,000 square feet of warehouse space in over 39 convenient locations across the country, stocked with more than 250+ product lines including house-brand A2V. Creating cost efficiencies for manufacturers and buying power for customers, the Alliance offers a national footprint with the added benefit of local sales, training and support.</w:t>
      </w:r>
    </w:p>
    <w:p w14:paraId="61FD8F3A" w14:textId="77777777" w:rsidR="003112D7" w:rsidRPr="003112D7" w:rsidRDefault="003112D7" w:rsidP="003112D7">
      <w:pPr>
        <w:spacing w:after="0" w:line="240" w:lineRule="auto"/>
        <w:rPr>
          <w:sz w:val="24"/>
        </w:rPr>
      </w:pPr>
    </w:p>
    <w:p w14:paraId="19A95DBB" w14:textId="77777777" w:rsidR="009F692E" w:rsidRDefault="009F692E" w:rsidP="009F692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Warehouse Locations</w:t>
      </w:r>
    </w:p>
    <w:p w14:paraId="4408500E" w14:textId="186E07F9" w:rsidR="003112D7" w:rsidRPr="004D488D" w:rsidRDefault="003112D7" w:rsidP="003112D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PowerHouse Alliance distributor members span the country, with 39 locations:</w:t>
      </w:r>
    </w:p>
    <w:p w14:paraId="117D7F57" w14:textId="0DF40793" w:rsidR="009F692E" w:rsidRPr="003112D7" w:rsidRDefault="009F692E" w:rsidP="009F692E">
      <w:pPr>
        <w:spacing w:after="0" w:line="240" w:lineRule="auto"/>
        <w:rPr>
          <w:b/>
          <w:sz w:val="24"/>
          <w:szCs w:val="24"/>
          <w:u w:val="single"/>
        </w:rPr>
      </w:pPr>
    </w:p>
    <w:p w14:paraId="753BF647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21st Century </w:t>
      </w:r>
      <w:r w:rsidRPr="003112D7">
        <w:rPr>
          <w:sz w:val="24"/>
          <w:szCs w:val="24"/>
        </w:rPr>
        <w:t>(Raleigh, NC; Charlotte, NC; Atlanta, GA; Orlando, FL; Nashville, TN)</w:t>
      </w:r>
    </w:p>
    <w:p w14:paraId="71A5B34B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Audio America </w:t>
      </w:r>
      <w:r w:rsidRPr="003112D7">
        <w:rPr>
          <w:sz w:val="24"/>
          <w:szCs w:val="24"/>
        </w:rPr>
        <w:t>(Jupiter, FL; Marietta, GA)</w:t>
      </w:r>
    </w:p>
    <w:p w14:paraId="126E1335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CED </w:t>
      </w:r>
      <w:r w:rsidRPr="003112D7">
        <w:rPr>
          <w:sz w:val="24"/>
          <w:szCs w:val="24"/>
        </w:rPr>
        <w:t>(Northbrook, IL; Elk Grove Village, IL; New Berlin, WI; Bloomington, MN)</w:t>
      </w:r>
    </w:p>
    <w:p w14:paraId="62FCF10D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Davis Distribution </w:t>
      </w:r>
      <w:r w:rsidRPr="003112D7">
        <w:rPr>
          <w:sz w:val="24"/>
          <w:szCs w:val="24"/>
        </w:rPr>
        <w:t>(Newell, WV; Indianapolis, IN)</w:t>
      </w:r>
    </w:p>
    <w:p w14:paraId="1B6813E5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ECD </w:t>
      </w:r>
      <w:r w:rsidRPr="003112D7">
        <w:rPr>
          <w:sz w:val="24"/>
          <w:szCs w:val="24"/>
        </w:rPr>
        <w:t>(Houston, TX; Carrollton, TX; Austin, TX)</w:t>
      </w:r>
    </w:p>
    <w:p w14:paraId="5152B743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EDI </w:t>
      </w:r>
      <w:r w:rsidRPr="003112D7">
        <w:rPr>
          <w:sz w:val="24"/>
          <w:szCs w:val="24"/>
        </w:rPr>
        <w:t>(Portland, OR; Bellevue, WA)</w:t>
      </w:r>
    </w:p>
    <w:p w14:paraId="0BF14FDF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KOA CCTV </w:t>
      </w:r>
      <w:r w:rsidRPr="003112D7">
        <w:rPr>
          <w:sz w:val="24"/>
          <w:szCs w:val="24"/>
        </w:rPr>
        <w:t>(North Hollywood, CA; Glendale, CA; Anaheim, CA; Los Angeles, CA; Canoga Park, CA; Sylmar, CA; Las Vegas, NV)</w:t>
      </w:r>
    </w:p>
    <w:p w14:paraId="15CA72EF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Mountain West </w:t>
      </w:r>
      <w:r w:rsidRPr="003112D7">
        <w:rPr>
          <w:sz w:val="24"/>
          <w:szCs w:val="24"/>
        </w:rPr>
        <w:t>(Salt Lake City, UT; Denver, CO; Scottsdale, AZ)</w:t>
      </w:r>
    </w:p>
    <w:p w14:paraId="6D98EABC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MRI </w:t>
      </w:r>
      <w:r w:rsidRPr="003112D7">
        <w:rPr>
          <w:sz w:val="24"/>
          <w:szCs w:val="24"/>
        </w:rPr>
        <w:t xml:space="preserve">(Plainville, CT; </w:t>
      </w:r>
      <w:proofErr w:type="spellStart"/>
      <w:r w:rsidRPr="003112D7">
        <w:rPr>
          <w:sz w:val="24"/>
          <w:szCs w:val="24"/>
        </w:rPr>
        <w:t>Colonie</w:t>
      </w:r>
      <w:proofErr w:type="spellEnd"/>
      <w:r w:rsidRPr="003112D7">
        <w:rPr>
          <w:sz w:val="24"/>
          <w:szCs w:val="24"/>
        </w:rPr>
        <w:t>, NY; Woburn, MA; Norwalk; CT)</w:t>
      </w:r>
    </w:p>
    <w:p w14:paraId="5B94469E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Pioneer Music Company </w:t>
      </w:r>
      <w:r w:rsidRPr="003112D7">
        <w:rPr>
          <w:sz w:val="24"/>
          <w:szCs w:val="24"/>
        </w:rPr>
        <w:t>(Chanute, KS; Lenexa, KS; Omaha, NE; Chesterfield, MO)</w:t>
      </w:r>
    </w:p>
    <w:p w14:paraId="1F1F9F49" w14:textId="77777777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Sierra Select </w:t>
      </w:r>
      <w:r w:rsidRPr="003112D7">
        <w:rPr>
          <w:sz w:val="24"/>
          <w:szCs w:val="24"/>
        </w:rPr>
        <w:t>(North Highlands, CA),</w:t>
      </w:r>
    </w:p>
    <w:p w14:paraId="65D347C0" w14:textId="60EF76C0" w:rsidR="003112D7" w:rsidRPr="003112D7" w:rsidRDefault="003112D7" w:rsidP="003112D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3112D7">
        <w:rPr>
          <w:b/>
          <w:sz w:val="24"/>
          <w:szCs w:val="24"/>
        </w:rPr>
        <w:t xml:space="preserve">Ui Supplies </w:t>
      </w:r>
      <w:r w:rsidRPr="003112D7">
        <w:rPr>
          <w:sz w:val="24"/>
          <w:szCs w:val="24"/>
        </w:rPr>
        <w:t>(Clifton, NJ; Plainview, NY)</w:t>
      </w:r>
    </w:p>
    <w:p w14:paraId="3715C3D8" w14:textId="77777777" w:rsidR="00B9754F" w:rsidRDefault="00B9754F" w:rsidP="009F692E">
      <w:pPr>
        <w:spacing w:after="0" w:line="240" w:lineRule="auto"/>
        <w:rPr>
          <w:sz w:val="24"/>
        </w:rPr>
      </w:pPr>
    </w:p>
    <w:p w14:paraId="590708F0" w14:textId="77777777" w:rsidR="00B9754F" w:rsidRDefault="00B9754F" w:rsidP="00B9754F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PowerHouse Alliance Vendors</w:t>
      </w:r>
    </w:p>
    <w:p w14:paraId="30286D28" w14:textId="1B889E3B" w:rsidR="00B9754F" w:rsidRDefault="003112D7" w:rsidP="00B9754F">
      <w:pPr>
        <w:spacing w:after="0" w:line="240" w:lineRule="auto"/>
        <w:rPr>
          <w:sz w:val="24"/>
        </w:rPr>
      </w:pPr>
      <w:r w:rsidRPr="003112D7">
        <w:rPr>
          <w:sz w:val="24"/>
        </w:rPr>
        <w:t xml:space="preserve">The PowerHouse Alliance distributes over 250 brands including: A2V, Samsung, MSE Audio, Hikvision, KEF, eero, VIZIO, JVC, Apple, , Ubiquiti, Yamaha, Universal Remote Control, </w:t>
      </w:r>
      <w:proofErr w:type="spellStart"/>
      <w:r w:rsidRPr="003112D7">
        <w:rPr>
          <w:sz w:val="24"/>
        </w:rPr>
        <w:t>Séura</w:t>
      </w:r>
      <w:proofErr w:type="spellEnd"/>
      <w:r w:rsidRPr="003112D7">
        <w:rPr>
          <w:sz w:val="24"/>
        </w:rPr>
        <w:t xml:space="preserve">, Luxul, Panamax, </w:t>
      </w:r>
      <w:proofErr w:type="spellStart"/>
      <w:r w:rsidRPr="003112D7">
        <w:rPr>
          <w:sz w:val="24"/>
        </w:rPr>
        <w:t>SunFire</w:t>
      </w:r>
      <w:proofErr w:type="spellEnd"/>
      <w:r w:rsidRPr="003112D7">
        <w:rPr>
          <w:sz w:val="24"/>
        </w:rPr>
        <w:t xml:space="preserve">, KEF, Polk, Peerless AV, Platinum Tools, </w:t>
      </w:r>
      <w:proofErr w:type="spellStart"/>
      <w:r w:rsidRPr="003112D7">
        <w:rPr>
          <w:sz w:val="24"/>
        </w:rPr>
        <w:t>DaLite</w:t>
      </w:r>
      <w:proofErr w:type="spellEnd"/>
      <w:r w:rsidRPr="003112D7">
        <w:rPr>
          <w:sz w:val="24"/>
        </w:rPr>
        <w:t xml:space="preserve">, </w:t>
      </w:r>
      <w:proofErr w:type="spellStart"/>
      <w:r w:rsidRPr="003112D7">
        <w:rPr>
          <w:sz w:val="24"/>
        </w:rPr>
        <w:t>Sanus</w:t>
      </w:r>
      <w:proofErr w:type="spellEnd"/>
      <w:r w:rsidRPr="003112D7">
        <w:rPr>
          <w:sz w:val="24"/>
        </w:rPr>
        <w:t xml:space="preserve">, 2GIG, Nest, </w:t>
      </w:r>
      <w:proofErr w:type="spellStart"/>
      <w:r w:rsidRPr="003112D7">
        <w:rPr>
          <w:sz w:val="24"/>
        </w:rPr>
        <w:t>Wyrestorm</w:t>
      </w:r>
      <w:proofErr w:type="spellEnd"/>
      <w:r w:rsidRPr="003112D7">
        <w:rPr>
          <w:sz w:val="24"/>
        </w:rPr>
        <w:t xml:space="preserve">, Hikvision, Digital Watchdog, Vanco, Middle Atlantic, </w:t>
      </w:r>
      <w:proofErr w:type="spellStart"/>
      <w:r w:rsidRPr="003112D7">
        <w:rPr>
          <w:sz w:val="24"/>
        </w:rPr>
        <w:t>Zigen</w:t>
      </w:r>
      <w:proofErr w:type="spellEnd"/>
      <w:r w:rsidRPr="003112D7">
        <w:rPr>
          <w:sz w:val="24"/>
        </w:rPr>
        <w:t>, Yale, Kwikset, Just Add Power, Wilson and more.</w:t>
      </w:r>
    </w:p>
    <w:p w14:paraId="632B073C" w14:textId="04C185C8" w:rsidR="003112D7" w:rsidRDefault="003112D7" w:rsidP="00B9754F">
      <w:pPr>
        <w:spacing w:after="0" w:line="240" w:lineRule="auto"/>
        <w:rPr>
          <w:sz w:val="24"/>
        </w:rPr>
      </w:pPr>
    </w:p>
    <w:p w14:paraId="0F35FC3C" w14:textId="155443EB" w:rsidR="003112D7" w:rsidRDefault="003112D7" w:rsidP="00B9754F">
      <w:pPr>
        <w:spacing w:after="0" w:line="240" w:lineRule="auto"/>
        <w:rPr>
          <w:b/>
          <w:sz w:val="28"/>
          <w:u w:val="single"/>
        </w:rPr>
      </w:pPr>
      <w:r w:rsidRPr="003112D7">
        <w:rPr>
          <w:b/>
          <w:sz w:val="28"/>
          <w:u w:val="single"/>
        </w:rPr>
        <w:t>A2V House Brand</w:t>
      </w:r>
    </w:p>
    <w:p w14:paraId="5CBE5840" w14:textId="293D8594" w:rsidR="003112D7" w:rsidRPr="003112D7" w:rsidRDefault="003112D7" w:rsidP="003112D7">
      <w:pPr>
        <w:spacing w:after="0" w:line="240" w:lineRule="auto"/>
        <w:rPr>
          <w:sz w:val="24"/>
        </w:rPr>
      </w:pPr>
      <w:r w:rsidRPr="003112D7">
        <w:rPr>
          <w:sz w:val="24"/>
        </w:rPr>
        <w:t xml:space="preserve">A2V is a house brand of custom speakers and audio/video accessories, available exclusively through PowerHouse Alliance distributor members throughout the U.S. The products were created in direct response to dealer needs with a focus on quality, UL approval, ease of </w:t>
      </w:r>
      <w:r w:rsidRPr="003112D7">
        <w:rPr>
          <w:sz w:val="24"/>
        </w:rPr>
        <w:lastRenderedPageBreak/>
        <w:t>installation and value. The growing A2V line of TV mounts, AV racks and custom speakers, gives dealers a variety of reliable installation solutions they can stand behind.</w:t>
      </w:r>
    </w:p>
    <w:sectPr w:rsidR="003112D7" w:rsidRPr="003112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435B" w14:textId="77777777" w:rsidR="00E30D55" w:rsidRDefault="00E30D55" w:rsidP="00F11EDB">
      <w:pPr>
        <w:spacing w:after="0" w:line="240" w:lineRule="auto"/>
      </w:pPr>
      <w:r>
        <w:separator/>
      </w:r>
    </w:p>
  </w:endnote>
  <w:endnote w:type="continuationSeparator" w:id="0">
    <w:p w14:paraId="2F414433" w14:textId="77777777" w:rsidR="00E30D55" w:rsidRDefault="00E30D55" w:rsidP="00F1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D909" w14:textId="77777777" w:rsidR="00F11EDB" w:rsidRPr="00F11EDB" w:rsidRDefault="00F11EDB" w:rsidP="00AE4F84">
    <w:pPr>
      <w:pStyle w:val="Footer"/>
      <w:jc w:val="center"/>
      <w:rPr>
        <w:i/>
      </w:rPr>
    </w:pPr>
    <w:r w:rsidRPr="00F11EDB">
      <w:rPr>
        <w:i/>
      </w:rPr>
      <w:t xml:space="preserve">For more information, please visit </w:t>
    </w:r>
    <w:hyperlink r:id="rId1" w:history="1">
      <w:r w:rsidRPr="00F11EDB">
        <w:rPr>
          <w:rStyle w:val="Hyperlink"/>
          <w:i/>
        </w:rPr>
        <w:t>www.powerhousealliance.com</w:t>
      </w:r>
    </w:hyperlink>
  </w:p>
  <w:p w14:paraId="692BF466" w14:textId="77777777" w:rsidR="00F11EDB" w:rsidRDefault="00F11EDB" w:rsidP="00AE4F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93E" w14:textId="77777777" w:rsidR="00E30D55" w:rsidRDefault="00E30D55" w:rsidP="00F11EDB">
      <w:pPr>
        <w:spacing w:after="0" w:line="240" w:lineRule="auto"/>
      </w:pPr>
      <w:r>
        <w:separator/>
      </w:r>
    </w:p>
  </w:footnote>
  <w:footnote w:type="continuationSeparator" w:id="0">
    <w:p w14:paraId="31E5AEAE" w14:textId="77777777" w:rsidR="00E30D55" w:rsidRDefault="00E30D55" w:rsidP="00F1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891" w14:textId="1548D08F" w:rsidR="00F11EDB" w:rsidRDefault="003112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9C8BCD" wp14:editId="3A4EA1AD">
          <wp:simplePos x="0" y="0"/>
          <wp:positionH relativeFrom="margin">
            <wp:align>left</wp:align>
          </wp:positionH>
          <wp:positionV relativeFrom="margin">
            <wp:posOffset>-681990</wp:posOffset>
          </wp:positionV>
          <wp:extent cx="28270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House Alliance Logo hi-res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93E28" w14:textId="77777777" w:rsidR="00F11EDB" w:rsidRDefault="00F11EDB">
    <w:pPr>
      <w:pStyle w:val="Header"/>
    </w:pPr>
  </w:p>
  <w:p w14:paraId="1EB26B8F" w14:textId="77777777" w:rsidR="00F11EDB" w:rsidRDefault="00F11EDB">
    <w:pPr>
      <w:pStyle w:val="Header"/>
    </w:pPr>
  </w:p>
  <w:p w14:paraId="3DD51D7F" w14:textId="77777777" w:rsidR="00F11EDB" w:rsidRDefault="00F11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168"/>
    <w:multiLevelType w:val="hybridMultilevel"/>
    <w:tmpl w:val="54EC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B7930"/>
    <w:multiLevelType w:val="hybridMultilevel"/>
    <w:tmpl w:val="E73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5C76"/>
    <w:multiLevelType w:val="hybridMultilevel"/>
    <w:tmpl w:val="B88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100C"/>
    <w:multiLevelType w:val="hybridMultilevel"/>
    <w:tmpl w:val="B196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DB"/>
    <w:rsid w:val="001E4A48"/>
    <w:rsid w:val="003112D7"/>
    <w:rsid w:val="0065573D"/>
    <w:rsid w:val="00661584"/>
    <w:rsid w:val="006762BE"/>
    <w:rsid w:val="00840A94"/>
    <w:rsid w:val="009F692E"/>
    <w:rsid w:val="00AE4F84"/>
    <w:rsid w:val="00AF1EE9"/>
    <w:rsid w:val="00B73050"/>
    <w:rsid w:val="00B9754F"/>
    <w:rsid w:val="00BA01CB"/>
    <w:rsid w:val="00D82708"/>
    <w:rsid w:val="00E22D6A"/>
    <w:rsid w:val="00E30D55"/>
    <w:rsid w:val="00E67DAE"/>
    <w:rsid w:val="00F11EDB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D487"/>
  <w15:chartTrackingRefBased/>
  <w15:docId w15:val="{A65C3FFE-E047-471D-935C-35CE6F4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DB"/>
  </w:style>
  <w:style w:type="paragraph" w:styleId="Footer">
    <w:name w:val="footer"/>
    <w:basedOn w:val="Normal"/>
    <w:link w:val="FooterChar"/>
    <w:uiPriority w:val="99"/>
    <w:unhideWhenUsed/>
    <w:rsid w:val="00F1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DB"/>
  </w:style>
  <w:style w:type="character" w:styleId="Hyperlink">
    <w:name w:val="Hyperlink"/>
    <w:basedOn w:val="DefaultParagraphFont"/>
    <w:uiPriority w:val="99"/>
    <w:unhideWhenUsed/>
    <w:rsid w:val="00F11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9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3112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housealli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Ahern</dc:creator>
  <cp:keywords/>
  <dc:description/>
  <cp:lastModifiedBy>Laura Shubel</cp:lastModifiedBy>
  <cp:revision>3</cp:revision>
  <dcterms:created xsi:type="dcterms:W3CDTF">2019-04-17T13:50:00Z</dcterms:created>
  <dcterms:modified xsi:type="dcterms:W3CDTF">2019-04-17T13:56:00Z</dcterms:modified>
</cp:coreProperties>
</file>